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E64E" w14:textId="7181BF5B" w:rsidR="00375A25" w:rsidRDefault="00375A25" w:rsidP="00375A25">
      <w:pPr>
        <w:spacing w:before="120" w:after="120" w:line="360" w:lineRule="auto"/>
        <w:jc w:val="center"/>
        <w:rPr>
          <w:rFonts w:cs="Arial"/>
          <w:bCs/>
          <w:sz w:val="28"/>
          <w:szCs w:val="28"/>
        </w:rPr>
      </w:pPr>
      <w:bookmarkStart w:id="0" w:name="_Hlk77064971"/>
      <w:r>
        <w:rPr>
          <w:noProof/>
          <w:lang w:eastAsia="en-GB"/>
        </w:rPr>
        <w:drawing>
          <wp:inline distT="0" distB="0" distL="0" distR="0" wp14:anchorId="5B707175" wp14:editId="446F00E2">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6E8E12B4" w14:textId="77777777" w:rsidR="00375A25" w:rsidRDefault="00375A25" w:rsidP="00CB3950">
      <w:pPr>
        <w:spacing w:before="120" w:after="120" w:line="360" w:lineRule="auto"/>
        <w:rPr>
          <w:rFonts w:cs="Arial"/>
          <w:bCs/>
          <w:sz w:val="28"/>
          <w:szCs w:val="28"/>
        </w:rPr>
      </w:pPr>
    </w:p>
    <w:p w14:paraId="3621AA80" w14:textId="77FE1070" w:rsidR="009F4D40" w:rsidRPr="00CE3AFA" w:rsidRDefault="00334C29" w:rsidP="00CB3950">
      <w:pPr>
        <w:spacing w:before="120" w:after="120" w:line="360" w:lineRule="auto"/>
        <w:rPr>
          <w:rFonts w:cs="Arial"/>
          <w:bCs/>
          <w:sz w:val="28"/>
          <w:szCs w:val="28"/>
        </w:rPr>
      </w:pPr>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655D1C1C" w14:textId="17DD8A7F" w:rsidR="00B76465" w:rsidRPr="00375A25"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375A25">
        <w:rPr>
          <w:rFonts w:cs="Arial"/>
          <w:b/>
          <w:bCs/>
          <w:szCs w:val="22"/>
        </w:rPr>
        <w:t>Tracey Peters and</w:t>
      </w:r>
      <w:r w:rsidR="0060476E" w:rsidRPr="00E50D92">
        <w:rPr>
          <w:rFonts w:cs="Arial"/>
          <w:szCs w:val="22"/>
        </w:rPr>
        <w:t xml:space="preserve"> </w:t>
      </w:r>
      <w:r w:rsidR="0060476E" w:rsidRPr="00E50D92">
        <w:rPr>
          <w:rFonts w:cs="Arial"/>
          <w:b/>
          <w:bCs/>
          <w:szCs w:val="22"/>
        </w:rPr>
        <w:t>the designated officer is</w:t>
      </w:r>
      <w:r w:rsidR="0060476E" w:rsidRPr="00E50D92">
        <w:rPr>
          <w:rFonts w:cs="Arial"/>
          <w:szCs w:val="22"/>
        </w:rPr>
        <w:t xml:space="preserve"> </w:t>
      </w:r>
      <w:r w:rsidR="00375A25" w:rsidRPr="00375A25">
        <w:rPr>
          <w:rFonts w:cs="Arial"/>
          <w:b/>
          <w:szCs w:val="22"/>
        </w:rPr>
        <w:t>Anne Weston</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19A56A57"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w:t>
      </w:r>
      <w:r w:rsidR="0052411B">
        <w:rPr>
          <w:rFonts w:cs="Arial"/>
          <w:szCs w:val="22"/>
        </w:rPr>
        <w:t>s</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xml:space="preserve">. There continues to be a requirement that the designated </w:t>
      </w:r>
      <w:r w:rsidRPr="00CB3950">
        <w:rPr>
          <w:rFonts w:cs="Arial"/>
          <w:bCs/>
          <w:color w:val="000000"/>
          <w:szCs w:val="22"/>
        </w:rPr>
        <w:lastRenderedPageBreak/>
        <w:t>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4903CF3F"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52411B">
        <w:rPr>
          <w:rFonts w:cs="Arial"/>
          <w:szCs w:val="22"/>
        </w:rPr>
        <w:t>a</w:t>
      </w:r>
      <w:r w:rsidR="00EA7217" w:rsidRPr="00EA7217">
        <w:rPr>
          <w:rFonts w:cs="Arial"/>
          <w:szCs w:val="22"/>
        </w:rPr>
        <w:t xml:space="preserve">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A6EC428"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52411B">
        <w:rPr>
          <w:rFonts w:cs="Arial"/>
          <w:szCs w:val="22"/>
        </w:rPr>
        <w:t>a</w:t>
      </w:r>
      <w:r w:rsidR="00EA7217" w:rsidRPr="00EA7217">
        <w:rPr>
          <w:rFonts w:cs="Arial"/>
          <w:szCs w:val="22"/>
        </w:rPr>
        <w:t xml:space="preserve">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31836BC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52411B">
        <w:rPr>
          <w:rFonts w:cs="Arial"/>
          <w:szCs w:val="22"/>
        </w:rPr>
        <w:t>a</w:t>
      </w:r>
      <w:r w:rsidR="008F07BC" w:rsidRPr="008461C2">
        <w:rPr>
          <w:rFonts w:cs="Arial"/>
          <w:szCs w:val="22"/>
        </w:rPr>
        <w:t xml:space="preserve"> Safeguarding incident reporting form </w:t>
      </w:r>
      <w:r w:rsidRPr="008461C2">
        <w:rPr>
          <w:rFonts w:cs="Arial"/>
          <w:szCs w:val="22"/>
        </w:rPr>
        <w:t>as soon as possible</w:t>
      </w:r>
      <w:r w:rsidR="008F07BC" w:rsidRPr="008461C2">
        <w:rPr>
          <w:rFonts w:cs="Arial"/>
          <w:szCs w:val="22"/>
        </w:rPr>
        <w:t>.</w:t>
      </w:r>
    </w:p>
    <w:p w14:paraId="1DDA634D" w14:textId="3D3CEA00" w:rsidR="00B34AC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9C9F7C0" w14:textId="77777777" w:rsidR="0052411B" w:rsidRPr="00CB3950" w:rsidRDefault="0052411B" w:rsidP="0052411B">
      <w:pPr>
        <w:spacing w:before="120" w:after="120" w:line="360" w:lineRule="auto"/>
        <w:rPr>
          <w:rFonts w:cs="Arial"/>
          <w:szCs w:val="22"/>
        </w:rPr>
      </w:pP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lastRenderedPageBreak/>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74787A9E"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52411B">
        <w:rPr>
          <w:rFonts w:cs="Arial"/>
          <w:bCs/>
          <w:szCs w:val="22"/>
        </w:rPr>
        <w:t>a</w:t>
      </w:r>
      <w:r w:rsidR="008F07BC" w:rsidRPr="006602B9">
        <w:rPr>
          <w:rFonts w:cs="Arial"/>
          <w:bCs/>
          <w:szCs w:val="22"/>
        </w:rPr>
        <w:t xml:space="preserve">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25CCF8B" w:rsidR="00B34AC0" w:rsidRPr="00CB3950" w:rsidRDefault="00B34AC0" w:rsidP="00CB3950">
      <w:pPr>
        <w:numPr>
          <w:ilvl w:val="0"/>
          <w:numId w:val="6"/>
        </w:numPr>
        <w:spacing w:before="120" w:after="120" w:line="360" w:lineRule="auto"/>
        <w:rPr>
          <w:rFonts w:cs="Arial"/>
          <w:bCs/>
          <w:szCs w:val="22"/>
        </w:rPr>
      </w:pPr>
      <w:proofErr w:type="gramStart"/>
      <w:r w:rsidRPr="00CB3950">
        <w:rPr>
          <w:rFonts w:cs="Arial"/>
          <w:bCs/>
          <w:szCs w:val="22"/>
        </w:rPr>
        <w:t>Staff are</w:t>
      </w:r>
      <w:proofErr w:type="gramEnd"/>
      <w:r w:rsidRPr="00CB3950">
        <w:rPr>
          <w:rFonts w:cs="Arial"/>
          <w:bCs/>
          <w:szCs w:val="22"/>
        </w:rPr>
        <w:t xml:space="preserve"> alert to indicators that a family may benefit from early help services and should discuss this with the designated person, also completing </w:t>
      </w:r>
      <w:r w:rsidR="0052411B">
        <w:rPr>
          <w:rFonts w:cs="Arial"/>
          <w:bCs/>
          <w:szCs w:val="22"/>
        </w:rPr>
        <w:t>a</w:t>
      </w:r>
      <w:r w:rsidR="008F07BC" w:rsidRPr="008F07BC">
        <w:rPr>
          <w:rFonts w:cs="Arial"/>
          <w:bCs/>
          <w:szCs w:val="22"/>
        </w:rPr>
        <w:t xml:space="preserve">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lastRenderedPageBreak/>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lastRenderedPageBreak/>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493297F6"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52411B">
        <w:rPr>
          <w:rFonts w:cs="Arial"/>
          <w:szCs w:val="22"/>
        </w:rPr>
        <w:t>a</w:t>
      </w:r>
      <w:r w:rsidR="0078374D" w:rsidRPr="0078374D">
        <w:rPr>
          <w:rFonts w:cs="Arial"/>
          <w:szCs w:val="22"/>
        </w:rPr>
        <w:t xml:space="preserve">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proofErr w:type="gramStart"/>
      <w:r w:rsidR="00862310" w:rsidRPr="008461C2">
        <w:rPr>
          <w:rFonts w:cs="Arial"/>
          <w:bCs/>
          <w:szCs w:val="22"/>
        </w:rPr>
        <w:t>a Child</w:t>
      </w:r>
      <w:proofErr w:type="gramEnd"/>
      <w:r w:rsidR="00862310" w:rsidRPr="008461C2">
        <w:rPr>
          <w:rFonts w:cs="Arial"/>
          <w:bCs/>
          <w:szCs w:val="22"/>
        </w:rPr>
        <w:t xml:space="preserve">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7362BE45"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A00F78">
        <w:rPr>
          <w:rFonts w:cs="Arial"/>
          <w:szCs w:val="22"/>
        </w:rPr>
        <w:t>)</w:t>
      </w:r>
      <w:r w:rsidR="007017E6" w:rsidRPr="00CB3950">
        <w:rPr>
          <w:rFonts w:cs="Arial"/>
          <w:szCs w:val="22"/>
        </w:rPr>
        <w:t>.</w:t>
      </w:r>
    </w:p>
    <w:p w14:paraId="6D1D61B7" w14:textId="2B8398D8"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52411B">
        <w:rPr>
          <w:rFonts w:cs="Arial"/>
          <w:szCs w:val="22"/>
        </w:rPr>
        <w:t>a</w:t>
      </w:r>
      <w:r w:rsidR="003A4300" w:rsidRPr="003A4300">
        <w:rPr>
          <w:rFonts w:cs="Arial"/>
          <w:szCs w:val="22"/>
        </w:rPr>
        <w:t xml:space="preserve">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16EE69C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7F429881"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52411B">
        <w:rPr>
          <w:rFonts w:cs="Arial"/>
          <w:szCs w:val="22"/>
        </w:rPr>
        <w:t>a</w:t>
      </w:r>
      <w:r w:rsidR="00AA49B1" w:rsidRPr="00D047F3">
        <w:rPr>
          <w:rFonts w:cs="Arial"/>
          <w:szCs w:val="22"/>
        </w:rPr>
        <w:t xml:space="preserve">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lastRenderedPageBreak/>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3110734E"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w:t>
      </w:r>
      <w:r w:rsidRPr="00CB3950">
        <w:rPr>
          <w:rFonts w:cs="Arial"/>
          <w:szCs w:val="22"/>
        </w:rPr>
        <w:t>Designated Officer</w:t>
      </w:r>
      <w:r w:rsidR="00156FE3" w:rsidRPr="00CB3950">
        <w:rPr>
          <w:rFonts w:cs="Arial"/>
          <w:szCs w:val="22"/>
        </w:rPr>
        <w:t xml:space="preserve">. </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 xml:space="preserve">or the local </w:t>
      </w:r>
      <w:proofErr w:type="gramStart"/>
      <w:r w:rsidRPr="00CB3950">
        <w:rPr>
          <w:rFonts w:cs="Arial"/>
          <w:szCs w:val="22"/>
        </w:rPr>
        <w:t>authority have</w:t>
      </w:r>
      <w:proofErr w:type="gramEnd"/>
      <w:r w:rsidRPr="00CB3950">
        <w:rPr>
          <w:rFonts w:cs="Arial"/>
          <w:szCs w:val="22"/>
        </w:rPr>
        <w:t xml:space="preser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w:t>
      </w:r>
      <w:r w:rsidRPr="00AA1CDF">
        <w:rPr>
          <w:rFonts w:eastAsia="Cambria" w:cs="Arial"/>
          <w:szCs w:val="22"/>
        </w:rPr>
        <w:lastRenderedPageBreak/>
        <w:t>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3"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4"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5"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6"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7"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1418361F" w14:textId="38E17BFC" w:rsidR="0011462D" w:rsidRPr="0052411B" w:rsidRDefault="0011462D" w:rsidP="0052411B">
      <w:pPr>
        <w:tabs>
          <w:tab w:val="left" w:pos="996"/>
        </w:tabs>
        <w:spacing w:before="120" w:after="120" w:line="360" w:lineRule="auto"/>
        <w:rPr>
          <w:rFonts w:cs="Arial"/>
          <w:szCs w:val="22"/>
        </w:rPr>
      </w:pPr>
      <w:bookmarkStart w:id="4" w:name="_GoBack"/>
      <w:bookmarkEnd w:id="4"/>
      <w:r w:rsidRPr="0052411B">
        <w:rPr>
          <w:rFonts w:cs="Arial"/>
          <w:szCs w:val="22"/>
        </w:rPr>
        <w:t xml:space="preserve">.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lastRenderedPageBreak/>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Risks in relation to forced marriage are high and it is important that practitioners ensure that anyone at risk of forced marriage is not put in further danger. If someone is believed to be at risk it is helpful to get as </w:t>
      </w:r>
      <w:r w:rsidRPr="00CB3950">
        <w:rPr>
          <w:rFonts w:cs="Arial"/>
          <w:szCs w:val="22"/>
        </w:rPr>
        <w:lastRenderedPageBreak/>
        <w:t>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8"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9"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20"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D262B" w14:textId="77777777" w:rsidR="00BA4DFE" w:rsidRDefault="00BA4DFE">
      <w:r>
        <w:separator/>
      </w:r>
    </w:p>
  </w:endnote>
  <w:endnote w:type="continuationSeparator" w:id="0">
    <w:p w14:paraId="344D0EB4" w14:textId="77777777" w:rsidR="00BA4DFE" w:rsidRDefault="00BA4DFE">
      <w:r>
        <w:continuationSeparator/>
      </w:r>
    </w:p>
  </w:endnote>
  <w:endnote w:type="continuationNotice" w:id="1">
    <w:p w14:paraId="44A77148" w14:textId="77777777" w:rsidR="00BA4DFE" w:rsidRDefault="00BA4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460FE" w14:textId="77777777" w:rsidR="00BA4DFE" w:rsidRDefault="00BA4DFE">
      <w:r>
        <w:separator/>
      </w:r>
    </w:p>
  </w:footnote>
  <w:footnote w:type="continuationSeparator" w:id="0">
    <w:p w14:paraId="41CCF0CA" w14:textId="77777777" w:rsidR="00BA4DFE" w:rsidRDefault="00BA4DFE">
      <w:r>
        <w:continuationSeparator/>
      </w:r>
    </w:p>
  </w:footnote>
  <w:footnote w:type="continuationNotice" w:id="1">
    <w:p w14:paraId="68B400E4" w14:textId="77777777" w:rsidR="00BA4DFE" w:rsidRDefault="00BA4DF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1E0"/>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5A25"/>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672"/>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11B"/>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0F78"/>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4DFE"/>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gmhelp@nspcc.org.uk" TargetMode="External"/><Relationship Id="rId18" Type="http://schemas.openxmlformats.org/officeDocument/2006/relationships/hyperlink" Target="mailto:fmu@fco.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gov.uk/government/publications/protecting-children-from-radicalisation-the-prevent-duty" TargetMode="External"/><Relationship Id="rId2" Type="http://schemas.openxmlformats.org/officeDocument/2006/relationships/customXml" Target="../customXml/item2.xml"/><Relationship Id="rId16" Type="http://schemas.openxmlformats.org/officeDocument/2006/relationships/hyperlink" Target="http://www.gov.uk/government/publications/prevent-strategy-2011"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ov.uk/government/publications/channel-and-prevent-multi-agency-panel-pmap-guidance" TargetMode="External"/><Relationship Id="rId10" Type="http://schemas.openxmlformats.org/officeDocument/2006/relationships/footnotes" Target="footnotes.xml"/><Relationship Id="rId19" Type="http://schemas.openxmlformats.org/officeDocument/2006/relationships/hyperlink" Target="mailto:fmuoutreach@fco.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female-genital-mutil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4.xml><?xml version="1.0" encoding="utf-8"?>
<ds:datastoreItem xmlns:ds="http://schemas.openxmlformats.org/officeDocument/2006/customXml" ds:itemID="{1D1053D1-22C0-4D83-A35A-EFB8C501C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3570</Words>
  <Characters>20352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STMicroelectronics</cp:lastModifiedBy>
  <cp:revision>5</cp:revision>
  <cp:lastPrinted>2019-04-17T19:39:00Z</cp:lastPrinted>
  <dcterms:created xsi:type="dcterms:W3CDTF">2021-08-10T11:48:00Z</dcterms:created>
  <dcterms:modified xsi:type="dcterms:W3CDTF">2021-10-12T12:38:00Z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